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E" w:rsidRDefault="00483F1A" w:rsidP="007A297E">
      <w:pPr>
        <w:rPr>
          <w:sz w:val="32"/>
          <w:szCs w:val="32"/>
        </w:rPr>
      </w:pPr>
      <w:r>
        <w:rPr>
          <w:sz w:val="32"/>
          <w:szCs w:val="32"/>
        </w:rPr>
        <w:t>Vyjádření k</w:t>
      </w:r>
      <w:r w:rsidR="008536F8">
        <w:rPr>
          <w:sz w:val="32"/>
          <w:szCs w:val="32"/>
        </w:rPr>
        <w:t> návrhu výškové budovy v místě stávajícího sila v bývalém areálu cukrovaru</w:t>
      </w:r>
      <w:r w:rsidR="00924FB1">
        <w:rPr>
          <w:sz w:val="32"/>
          <w:szCs w:val="32"/>
        </w:rPr>
        <w:t>, Český Brod</w:t>
      </w:r>
    </w:p>
    <w:p w:rsidR="007A297E" w:rsidRDefault="00460CD9" w:rsidP="007A297E">
      <w:r>
        <w:t xml:space="preserve">Návrh: </w:t>
      </w:r>
      <w:r w:rsidR="0090477A">
        <w:t>Atelier Tecl s.r.o. (Ing. arch. Lukáš Tecl)</w:t>
      </w:r>
    </w:p>
    <w:p w:rsidR="00943C43" w:rsidRDefault="008536F8" w:rsidP="007B05E9">
      <w:r>
        <w:t xml:space="preserve">Předmětem předložené studie je řada variant možné podoby výškové budovy v místě stávajícího sila bývalého cukrovaru. </w:t>
      </w:r>
      <w:r w:rsidR="00943C43">
        <w:t>Stávající budova sila je navržena k demolici. Místo této budovy je navržena výšková polyfunkční budova.</w:t>
      </w:r>
      <w:r w:rsidR="00943C43">
        <w:t xml:space="preserve"> </w:t>
      </w:r>
    </w:p>
    <w:p w:rsidR="00BC7BC5" w:rsidRDefault="008536F8" w:rsidP="007B05E9">
      <w:r>
        <w:t>Pozemek se nachází v Liblickém předměstí, kde by v budoucnu měla být realizována nová zástavba převážně obytných bloků.</w:t>
      </w:r>
      <w:r w:rsidR="00BC7BC5">
        <w:t xml:space="preserve"> </w:t>
      </w:r>
    </w:p>
    <w:p w:rsidR="008536F8" w:rsidRDefault="00BC7BC5" w:rsidP="007B05E9">
      <w:r>
        <w:t xml:space="preserve">Navržený obytný soubor </w:t>
      </w:r>
      <w:r>
        <w:t xml:space="preserve">zástavby Liblického předměstí </w:t>
      </w:r>
      <w:r>
        <w:t>je rozdělen na několik etap výstavby.</w:t>
      </w:r>
      <w:r>
        <w:t xml:space="preserve"> </w:t>
      </w:r>
      <w:r>
        <w:t>Zahajovací první etapou má být výstavba bytového domu A3 s komerčními jednotkami a hlavní propojovací komunikace mezi ulicemi Jana Kouly a Krále Jiřího.</w:t>
      </w:r>
      <w:r>
        <w:t xml:space="preserve"> Stavba případné výškové budovy v místě stávajícího sila je zamýšlena až v jedné z následujících etap výstavby.</w:t>
      </w:r>
    </w:p>
    <w:p w:rsidR="00BC7BC5" w:rsidRDefault="00BC7BC5" w:rsidP="007B05E9">
      <w:r>
        <w:t>Zpracovatel předložil následující varianty:</w:t>
      </w:r>
    </w:p>
    <w:p w:rsidR="00BC7BC5" w:rsidRDefault="00BC7BC5" w:rsidP="00BC7BC5">
      <w:pPr>
        <w:pStyle w:val="ListParagraph"/>
        <w:numPr>
          <w:ilvl w:val="0"/>
          <w:numId w:val="3"/>
        </w:numPr>
      </w:pPr>
      <w:r>
        <w:t>nízká varianta (výška 72,4 m)</w:t>
      </w:r>
    </w:p>
    <w:p w:rsidR="00BC7BC5" w:rsidRDefault="00BC7BC5" w:rsidP="00BC7BC5">
      <w:pPr>
        <w:pStyle w:val="ListParagraph"/>
        <w:numPr>
          <w:ilvl w:val="0"/>
          <w:numId w:val="3"/>
        </w:numPr>
      </w:pPr>
      <w:r>
        <w:t>vysoká varianta (výška 98 m)</w:t>
      </w:r>
    </w:p>
    <w:p w:rsidR="00BC7BC5" w:rsidRDefault="00BC7BC5" w:rsidP="00BC7BC5">
      <w:pPr>
        <w:pStyle w:val="ListParagraph"/>
        <w:numPr>
          <w:ilvl w:val="0"/>
          <w:numId w:val="3"/>
        </w:numPr>
      </w:pPr>
      <w:r>
        <w:t xml:space="preserve">vysoká varianta preferovaná (výška cca </w:t>
      </w:r>
      <w:r w:rsidR="00DA5854">
        <w:t>110 m)</w:t>
      </w:r>
    </w:p>
    <w:p w:rsidR="00DA5854" w:rsidRDefault="00DA5854" w:rsidP="00BC7BC5">
      <w:pPr>
        <w:pStyle w:val="ListParagraph"/>
        <w:numPr>
          <w:ilvl w:val="0"/>
          <w:numId w:val="3"/>
        </w:numPr>
      </w:pPr>
      <w:r>
        <w:t xml:space="preserve">vysoká varianta </w:t>
      </w:r>
      <w:proofErr w:type="spellStart"/>
      <w:r>
        <w:t>random</w:t>
      </w:r>
      <w:proofErr w:type="spellEnd"/>
      <w:r>
        <w:t xml:space="preserve"> (výška cca 110 m)</w:t>
      </w:r>
    </w:p>
    <w:p w:rsidR="00DA5854" w:rsidRDefault="00DA5854" w:rsidP="00BC7BC5">
      <w:pPr>
        <w:pStyle w:val="ListParagraph"/>
        <w:numPr>
          <w:ilvl w:val="0"/>
          <w:numId w:val="3"/>
        </w:numPr>
      </w:pPr>
      <w:r>
        <w:t>vysoká varianta parazit (výška cca 98 m)</w:t>
      </w:r>
    </w:p>
    <w:p w:rsidR="00BC7BC5" w:rsidRDefault="00DA5854" w:rsidP="007B05E9">
      <w:r>
        <w:t xml:space="preserve">Dle požadavku města byly pro nízkou i vysokou variantu vypracovány zákresy do dálkových pohledů, aby bylo zřejmé, jak by případná stavba výškové budovy ovlivnila panorama města. Stejné zákresy </w:t>
      </w:r>
      <w:r w:rsidR="00943C43">
        <w:t>byly pro porovnání vypracovány i pro variantu zachování a konverzi stávajícího sila.</w:t>
      </w:r>
      <w:r>
        <w:t xml:space="preserve"> </w:t>
      </w:r>
    </w:p>
    <w:p w:rsidR="007B05E9" w:rsidRDefault="00066B9C" w:rsidP="007B05E9">
      <w:r>
        <w:t>Pozemek je součástí rozvojového území, pro které byla v souladu s požadavky platné ÚPD registrovaná územní studie „</w:t>
      </w:r>
      <w:r w:rsidR="008E2AF5">
        <w:t>Liblické předměstí</w:t>
      </w:r>
      <w:r>
        <w:t xml:space="preserve">“. </w:t>
      </w:r>
      <w:r w:rsidR="006151D2">
        <w:t>Ta navrhuje zachování stávajícího sila a jeho konverzi.</w:t>
      </w:r>
    </w:p>
    <w:p w:rsidR="007B05E9" w:rsidRDefault="00921A99" w:rsidP="007B05E9">
      <w:pPr>
        <w:rPr>
          <w:b/>
        </w:rPr>
      </w:pPr>
      <w:r>
        <w:rPr>
          <w:b/>
        </w:rPr>
        <w:t>K pře</w:t>
      </w:r>
      <w:r w:rsidR="00066B9C">
        <w:rPr>
          <w:b/>
        </w:rPr>
        <w:t>dloženému návrhu sděluji</w:t>
      </w:r>
      <w:r>
        <w:rPr>
          <w:b/>
        </w:rPr>
        <w:t>:</w:t>
      </w:r>
    </w:p>
    <w:p w:rsidR="001B2EA0" w:rsidRDefault="00914138" w:rsidP="004E2585">
      <w:r>
        <w:t>Základní rozvržení ulic a náměstí v územní studii a potažmo i v koncepci zástavby Liblického předměstí od architekta Tecla reaguje na tvar území, přístupové body a na kompozici dominant v rámci města. Hlavní páteřní ulice vedoucí ze západu na východ je vedena na osu sila cukrovaru a na druhé straně na osu dvojvěží kostela a zvonice v centru. Vedlejší osy jsou směřovány na budovu vlakového nádraží, na kapličku za potokem, na dominantu budov ZZN, na věžičku střední školy v Liblicích apod.</w:t>
      </w:r>
      <w:r w:rsidR="009641E3">
        <w:t xml:space="preserve"> Urbanistická koncepce řešení Liblického předměstí je tedy výrazně založená na přítomnosti dominant města včetně dominanty sila cukrovaru.</w:t>
      </w:r>
      <w:r w:rsidR="001B2EA0">
        <w:t xml:space="preserve"> Absence této dominanty by znamenala oslabení původní koncepce rozvržení ulic. Tento přístup koncepce řešení Liblického předměstí je i v souladu s územním plánem, který požaduje nalezení kompozičních os a cest končících průhledem na významné body a stavby, které by mohly být doplněny výsadbami (aleje, stromořadí, apod.).</w:t>
      </w:r>
    </w:p>
    <w:p w:rsidR="008C0EA1" w:rsidRDefault="001B2EA0" w:rsidP="004E2585">
      <w:r>
        <w:lastRenderedPageBreak/>
        <w:t xml:space="preserve">Na druhé straně </w:t>
      </w:r>
      <w:r w:rsidR="007E5DAB" w:rsidRPr="006151D2">
        <w:t xml:space="preserve">je </w:t>
      </w:r>
      <w:r w:rsidR="007E5DAB">
        <w:t xml:space="preserve">ale také </w:t>
      </w:r>
      <w:r w:rsidR="007E5DAB" w:rsidRPr="006151D2">
        <w:t>třeba sledovat zachování kvality a estetiky krajiny, chránit krajinný ráz a vytvářet kvalitní vyvážené panorama města s jeho architektonicky a historicky cennými dominantami vystupujícími z podnože zástavby.</w:t>
      </w:r>
      <w:r>
        <w:t xml:space="preserve">  </w:t>
      </w:r>
    </w:p>
    <w:p w:rsidR="004E2585" w:rsidRDefault="004E2585" w:rsidP="004E2585">
      <w:r>
        <w:t>Panorama obce a její dominanty</w:t>
      </w:r>
      <w:r>
        <w:t xml:space="preserve"> jsou zřetelné především z jihu </w:t>
      </w:r>
      <w:r>
        <w:t>(od hřbitova - směr Přistoupim</w:t>
      </w:r>
      <w:r>
        <w:t xml:space="preserve"> a od Tuchoraze) a ze severního </w:t>
      </w:r>
      <w:r>
        <w:t xml:space="preserve">kopce, kterým se do města sjíždí </w:t>
      </w:r>
      <w:r>
        <w:t xml:space="preserve">od Kounic. Hlavními dominantami </w:t>
      </w:r>
      <w:r>
        <w:t>tvořící městkou vedutu js</w:t>
      </w:r>
      <w:r>
        <w:t xml:space="preserve">ou jistě kostel sv. Gotharda se </w:t>
      </w:r>
      <w:r>
        <w:t>zvonicí, které označují historic</w:t>
      </w:r>
      <w:r>
        <w:t xml:space="preserve">ký střed města. Díky zemědělsky </w:t>
      </w:r>
      <w:r>
        <w:t>významné oblasti vzniklo ve městě</w:t>
      </w:r>
      <w:r>
        <w:t xml:space="preserve"> a v okolí několik zemědělských </w:t>
      </w:r>
      <w:r>
        <w:t>staveb s výškovými objekty sil</w:t>
      </w:r>
      <w:r>
        <w:t xml:space="preserve">, např. silo bývalého cukrovaru </w:t>
      </w:r>
      <w:r>
        <w:t>(Liblické předměstí) a také</w:t>
      </w:r>
      <w:r>
        <w:t xml:space="preserve"> skladiště/silo řešeného areálu </w:t>
      </w:r>
      <w:r>
        <w:t>ZZN. V neposlední řadě jde i o českobrodské gymnázium</w:t>
      </w:r>
      <w:r w:rsidR="00E225F3">
        <w:t xml:space="preserve">, </w:t>
      </w:r>
      <w:r w:rsidR="00DA137B">
        <w:t xml:space="preserve">Podlipanské muzeum, </w:t>
      </w:r>
      <w:r w:rsidR="00E225F3">
        <w:t>železniční stanic</w:t>
      </w:r>
      <w:r w:rsidR="00E85F8C">
        <w:t>i a</w:t>
      </w:r>
      <w:r w:rsidR="00E225F3">
        <w:t xml:space="preserve"> školu v Liblicích</w:t>
      </w:r>
      <w:r>
        <w:t>.</w:t>
      </w:r>
      <w:r w:rsidR="00E85F8C" w:rsidRPr="00E85F8C">
        <w:t xml:space="preserve"> Zvláštní význam mají a v jistém smyslu i novodobou dominantou města jsou příhradové subtilní stožáry telekomunikačního zařízení v Liblicích o výši 335 m, díky vzdálenosti od historického centra a díky vzdušnosti konstrukce však nepůsobí rušivě.</w:t>
      </w:r>
      <w:r w:rsidR="00E85F8C">
        <w:t xml:space="preserve"> </w:t>
      </w:r>
    </w:p>
    <w:p w:rsidR="00E225F3" w:rsidRDefault="006151D2" w:rsidP="006151D2">
      <w:r>
        <w:t xml:space="preserve">V rámci jednotlivých ploch s rozdílným způsobem využití je územním plánem určena výšková hladina nové zástavby i </w:t>
      </w:r>
      <w:proofErr w:type="spellStart"/>
      <w:r>
        <w:t>přestavbových</w:t>
      </w:r>
      <w:proofErr w:type="spellEnd"/>
      <w:r>
        <w:t xml:space="preserve"> částí města v souladu s potřebou zachování a ochrany</w:t>
      </w:r>
      <w:r>
        <w:t xml:space="preserve"> historické zóny a historických </w:t>
      </w:r>
      <w:r>
        <w:t>dominant. V hranicích městské památkové zóny musí výšková hladina nové zástavby a přestavby navazovat na výškovou úroveň stávající zástavby. Zástavba navazující na významná historická centra ne</w:t>
      </w:r>
      <w:r w:rsidR="00392C11">
        <w:t>má být</w:t>
      </w:r>
      <w:r>
        <w:t xml:space="preserve"> zvyšována. V rámci prostorových regulací </w:t>
      </w:r>
      <w:r w:rsidR="00392C11">
        <w:t>územní plán dokonce</w:t>
      </w:r>
      <w:r>
        <w:t xml:space="preserve"> navrhuje odstranění nežádoucích dominant, jako například zbytků výškových staveb po zrušeném cukrovaru</w:t>
      </w:r>
      <w:r w:rsidR="0014123D">
        <w:t>.</w:t>
      </w:r>
      <w:r w:rsidR="00E225F3">
        <w:t xml:space="preserve"> </w:t>
      </w:r>
    </w:p>
    <w:p w:rsidR="00CA2FBF" w:rsidRDefault="00CA2FBF" w:rsidP="006151D2">
      <w:r>
        <w:t xml:space="preserve">V tomto se </w:t>
      </w:r>
      <w:r w:rsidR="00254524">
        <w:t xml:space="preserve">se </w:t>
      </w:r>
      <w:r>
        <w:t>zpracovatelem územního plánu názorově rozcházím. Dle mého názoru můžou „nežádoucí“ dominanty zažehnout rozvoj v nových částech města a stát se symbolem nového rozvoje, jak ekonomicky, tak obrazně. Zároveň tyto budovy podávají historický doklad o zemědělský významném období města. V 21.</w:t>
      </w:r>
      <w:r w:rsidR="000833CA">
        <w:t xml:space="preserve"> století</w:t>
      </w:r>
      <w:r>
        <w:t xml:space="preserve"> nemusí být </w:t>
      </w:r>
      <w:r w:rsidR="000833CA">
        <w:t xml:space="preserve">dle mého názoru </w:t>
      </w:r>
      <w:r>
        <w:t>nejvyšší budovou kostel na hlavním náměstí v centru města. Nicméně se shoduji se zpracovatelem územního plánu v tom, že h</w:t>
      </w:r>
      <w:r w:rsidRPr="00CA2FBF">
        <w:t>lavní hodnota města spočívá zejména v jeho dochovaném historickém potenciálu; ve struktuře jádra původně sevřeného městskými hradbami, v</w:t>
      </w:r>
      <w:r w:rsidR="00DB7293">
        <w:t xml:space="preserve"> množství historických staveb a v neposlední řadě i v dominantě gotického</w:t>
      </w:r>
      <w:r w:rsidRPr="00CA2FBF">
        <w:t xml:space="preserve"> kostel</w:t>
      </w:r>
      <w:r w:rsidR="000833CA">
        <w:t>a</w:t>
      </w:r>
      <w:r w:rsidRPr="00CA2FBF">
        <w:t xml:space="preserve"> sv. Gotharda se samostatně stojící kamennou renesanční zvonicí</w:t>
      </w:r>
      <w:r w:rsidR="00DB7293">
        <w:t>.</w:t>
      </w:r>
    </w:p>
    <w:p w:rsidR="007F772D" w:rsidRDefault="00254524" w:rsidP="006151D2">
      <w:r>
        <w:t>Odstranění stávající dominanty sila cukrovaru, k</w:t>
      </w:r>
      <w:r w:rsidR="00DA137B">
        <w:t>teré</w:t>
      </w:r>
      <w:r>
        <w:t xml:space="preserve"> je dokladem významné historie Českého Brodu a jeho nahrazení jinou ještě vyšší dominantou se </w:t>
      </w:r>
      <w:r w:rsidR="000833CA">
        <w:t xml:space="preserve">tak </w:t>
      </w:r>
      <w:r>
        <w:t xml:space="preserve">jeví </w:t>
      </w:r>
      <w:r w:rsidR="00B676F0">
        <w:t xml:space="preserve">ve světle výše uvedeného </w:t>
      </w:r>
      <w:r>
        <w:t>přinejmenším jako velmi diskutabilní</w:t>
      </w:r>
      <w:r w:rsidR="00B676F0">
        <w:t xml:space="preserve"> rozhodnutí</w:t>
      </w:r>
      <w:r>
        <w:t xml:space="preserve">. </w:t>
      </w:r>
      <w:r w:rsidR="00DA137B">
        <w:t>Diskutabilní povahu takového rozhodnutí dle mého názoru podporují i zákresy do dálkových</w:t>
      </w:r>
      <w:r>
        <w:t xml:space="preserve"> </w:t>
      </w:r>
      <w:r w:rsidR="00DA137B">
        <w:t>pohledů, které potvrzují, že uvažovaná budova o výšce cca 100 m nepřispívá</w:t>
      </w:r>
      <w:r w:rsidR="00DA137B" w:rsidRPr="00DA137B">
        <w:t xml:space="preserve"> </w:t>
      </w:r>
      <w:r w:rsidR="00DA137B">
        <w:t xml:space="preserve">ke </w:t>
      </w:r>
      <w:r w:rsidR="00DA137B" w:rsidRPr="00DA137B">
        <w:t>kvalitní</w:t>
      </w:r>
      <w:r w:rsidR="00DA137B">
        <w:t>mu</w:t>
      </w:r>
      <w:r w:rsidR="00DA137B" w:rsidRPr="00DA137B">
        <w:t xml:space="preserve"> vyvážené</w:t>
      </w:r>
      <w:r w:rsidR="00DA137B">
        <w:t>mu panoramatu</w:t>
      </w:r>
      <w:r w:rsidR="00DA137B" w:rsidRPr="00DA137B">
        <w:t xml:space="preserve"> města</w:t>
      </w:r>
      <w:r w:rsidR="00DA137B">
        <w:t>.</w:t>
      </w:r>
      <w:r>
        <w:t xml:space="preserve"> </w:t>
      </w:r>
      <w:r w:rsidR="00DA137B">
        <w:t xml:space="preserve">Velmi pochybný se jeví i argument, že </w:t>
      </w:r>
      <w:r w:rsidR="007F772D">
        <w:t>takto vysoká budova je v panoramatu města opodstatněná z důvodu přítomnosti stožárů telekomunikačních zařízení (nejvyšší stavba v Česku). Díky vzdušnosti konstrukce a vzdálenosti od centra tato stavba nepůsobí vůbec rušivě a hmotně.</w:t>
      </w:r>
    </w:p>
    <w:p w:rsidR="00F3097E" w:rsidRDefault="007F772D" w:rsidP="006151D2">
      <w:r>
        <w:t>Stavba výškové budovy, která by se blížila svojí výškou nejvyšším budovám v Česku, nebo je dokonce všechny převyšovala, by jistě vyvolala obrovský zájem</w:t>
      </w:r>
      <w:r w:rsidR="00A50E7D">
        <w:t xml:space="preserve"> médií</w:t>
      </w:r>
      <w:r>
        <w:t xml:space="preserve">, z kterého by z určitého pohledu </w:t>
      </w:r>
      <w:r w:rsidR="00A50E7D">
        <w:t xml:space="preserve">mohla </w:t>
      </w:r>
      <w:r>
        <w:t xml:space="preserve">profitovat i obec. </w:t>
      </w:r>
      <w:r w:rsidR="00A50E7D">
        <w:t xml:space="preserve">Je otázka, jak dlouho by </w:t>
      </w:r>
      <w:r w:rsidR="0090472A">
        <w:t xml:space="preserve">ale </w:t>
      </w:r>
      <w:r w:rsidR="00A50E7D">
        <w:t xml:space="preserve">z takového </w:t>
      </w:r>
      <w:r w:rsidR="0090472A">
        <w:t>zájmu mohla</w:t>
      </w:r>
      <w:r w:rsidR="00A50E7D">
        <w:t xml:space="preserve"> obec profitovat. Jsem spíše přesvědčen, že tyto výhody nevyváží výše popsanou kontroverzi. Výstavba tak vysoké budovy s</w:t>
      </w:r>
      <w:r w:rsidR="0090472A">
        <w:t> </w:t>
      </w:r>
      <w:r w:rsidR="00A50E7D">
        <w:t>sebou</w:t>
      </w:r>
      <w:r w:rsidR="0090472A">
        <w:t xml:space="preserve"> dále</w:t>
      </w:r>
      <w:r w:rsidR="00A50E7D">
        <w:t xml:space="preserve"> nese celou řadu rizik, včetně finančních</w:t>
      </w:r>
      <w:r w:rsidR="007B57F6">
        <w:t xml:space="preserve"> a potažmo by ta</w:t>
      </w:r>
      <w:r w:rsidR="00A50E7D">
        <w:t xml:space="preserve">k mohla utrpět i výsledná kvalita architektury. </w:t>
      </w:r>
      <w:r w:rsidR="007B57F6">
        <w:t>V kombinaci s výše popsanými spornými otázkami j</w:t>
      </w:r>
      <w:r w:rsidR="00A50E7D">
        <w:t xml:space="preserve">e </w:t>
      </w:r>
      <w:r w:rsidR="007B57F6">
        <w:t>zde tedy</w:t>
      </w:r>
      <w:r w:rsidR="00A50E7D">
        <w:t xml:space="preserve"> vysoká pravděpodobnost, že by takový počin nemusel být minimálně odbornou veřejností </w:t>
      </w:r>
      <w:r w:rsidR="007B57F6">
        <w:t xml:space="preserve">přijat vůbec kladně a kvality, na kterých je nyní město založeno, by byly nenávratně poškozeny. Naopak konverze sila by v sobě </w:t>
      </w:r>
      <w:r w:rsidR="007B57F6">
        <w:lastRenderedPageBreak/>
        <w:t>spojovala všechny výhody, tedy potřebu dominanty, umírněnosti v panoramatu města i potenciálu oživení města zajímavým architektonickým počinem.</w:t>
      </w:r>
    </w:p>
    <w:p w:rsidR="00F3097E" w:rsidRDefault="00F3097E" w:rsidP="006151D2">
      <w:r>
        <w:t>Vzhledem k nejasnosti celé řady parametrů, včetně finančních aspektů, doporučuji návrh k dalšímu dopracování a především k prověření možnosti zachování sila.</w:t>
      </w:r>
    </w:p>
    <w:p w:rsidR="00C871C0" w:rsidRDefault="00111819" w:rsidP="000B187B">
      <w:r>
        <w:t xml:space="preserve">Aby další projektové práce a tedy nejasnosti ohledně podoby a především výšky této dominanty nebrzdily změnu územního plánu, navrhuji omezit výšku </w:t>
      </w:r>
      <w:r w:rsidR="0090472A">
        <w:t>dominanty</w:t>
      </w:r>
      <w:r>
        <w:t xml:space="preserve"> v územním </w:t>
      </w:r>
      <w:r w:rsidR="00A72014">
        <w:t>plánu</w:t>
      </w:r>
      <w:r>
        <w:t xml:space="preserve"> maximální výškou</w:t>
      </w:r>
      <w:r w:rsidR="00A72014">
        <w:t xml:space="preserve"> 120 m. Zároveň ale navrhuji zpracovat podrobnější dokumentaci, tedy vymezit plochu v místě sila, ve kterém bude rozhodování v území podmíněno regulačním plánem. Do doby zpracování a schválení regulačního plánu by ve vymezené ploše platila stavební uzávěra.</w:t>
      </w:r>
      <w:r w:rsidR="00A72014" w:rsidRPr="00A72014">
        <w:t xml:space="preserve"> Regulační plán bude pořizován z podnětu dle § 64 zákona č. 183/2006 Sb. o územním plánování a stavebním řádu (</w:t>
      </w:r>
      <w:r w:rsidR="0090472A">
        <w:t>stavební zákon) v platném znění</w:t>
      </w:r>
      <w:r w:rsidR="00A72014" w:rsidRPr="00A72014">
        <w:t>. Důvodem je pot</w:t>
      </w:r>
      <w:r w:rsidR="00365ACA">
        <w:t>řeba podrobněji regulovat prostorový</w:t>
      </w:r>
      <w:r w:rsidR="00A72014">
        <w:t xml:space="preserve"> –</w:t>
      </w:r>
      <w:r w:rsidR="00365ACA">
        <w:t xml:space="preserve"> hmotový</w:t>
      </w:r>
      <w:r w:rsidR="00A72014">
        <w:t xml:space="preserve"> a </w:t>
      </w:r>
      <w:r w:rsidR="00365ACA">
        <w:t>estetický – vzhledový</w:t>
      </w:r>
      <w:r w:rsidR="00A72014" w:rsidRPr="00A72014">
        <w:t xml:space="preserve"> </w:t>
      </w:r>
      <w:r w:rsidR="00365ACA">
        <w:t>stav</w:t>
      </w:r>
      <w:r w:rsidR="00A72014" w:rsidRPr="00A72014">
        <w:t xml:space="preserve"> </w:t>
      </w:r>
      <w:r w:rsidR="00365ACA">
        <w:t>zamýšlené dominanty Liblického předměstí</w:t>
      </w:r>
      <w:r w:rsidR="00A72014" w:rsidRPr="00A72014">
        <w:t xml:space="preserve">, v měřítku a podrobnosti větší, než stanovuje územní plán. Jedná se o </w:t>
      </w:r>
      <w:r w:rsidR="00365ACA">
        <w:t>významnou</w:t>
      </w:r>
      <w:r w:rsidR="00A72014" w:rsidRPr="00A72014">
        <w:t xml:space="preserve"> část města z hlediska funkčního a prostorového i historického významu.</w:t>
      </w:r>
      <w:r w:rsidR="00A72014">
        <w:t xml:space="preserve"> </w:t>
      </w:r>
      <w:r w:rsidR="009041CF">
        <w:t>Navrhuji, aby regulační plán nahrazoval</w:t>
      </w:r>
      <w:r w:rsidR="009041CF" w:rsidRPr="009041CF">
        <w:t xml:space="preserve"> v řešené ploše ve schválené</w:t>
      </w:r>
      <w:r w:rsidR="009041CF">
        <w:t>m rozsahu územní rozhodnutí a byl</w:t>
      </w:r>
      <w:r w:rsidR="009041CF" w:rsidRPr="009041CF">
        <w:t xml:space="preserve"> závazný pro rozhodování v území.</w:t>
      </w:r>
      <w:bookmarkStart w:id="0" w:name="_GoBack"/>
      <w:bookmarkEnd w:id="0"/>
    </w:p>
    <w:p w:rsidR="000B187B" w:rsidRPr="009324CA" w:rsidRDefault="000B187B" w:rsidP="000B187B">
      <w:pPr>
        <w:rPr>
          <w:b/>
        </w:rPr>
      </w:pPr>
      <w:r w:rsidRPr="009324CA">
        <w:rPr>
          <w:b/>
        </w:rPr>
        <w:t>Závěr:</w:t>
      </w:r>
    </w:p>
    <w:p w:rsidR="000B187B" w:rsidRPr="009324CA" w:rsidRDefault="00795250" w:rsidP="000B187B">
      <w:pPr>
        <w:rPr>
          <w:b/>
        </w:rPr>
      </w:pPr>
      <w:r>
        <w:rPr>
          <w:b/>
        </w:rPr>
        <w:t>Doporučuji</w:t>
      </w:r>
      <w:r w:rsidR="000B187B" w:rsidRPr="009324CA">
        <w:rPr>
          <w:b/>
        </w:rPr>
        <w:t xml:space="preserve"> záměr k dalšímu dopracování za výše uvedených podmínek. </w:t>
      </w:r>
    </w:p>
    <w:p w:rsidR="007B05E9" w:rsidRDefault="007B05E9" w:rsidP="007B05E9">
      <w:r>
        <w:t xml:space="preserve">V Praze </w:t>
      </w:r>
      <w:r w:rsidR="00A00BBC">
        <w:t>25. 10</w:t>
      </w:r>
      <w:r w:rsidR="00A3404B">
        <w:t>. 2019</w:t>
      </w:r>
    </w:p>
    <w:p w:rsidR="00755E9E" w:rsidRDefault="007B05E9" w:rsidP="007A297E">
      <w:r>
        <w:t>Jiří Pavlíček</w:t>
      </w:r>
    </w:p>
    <w:sectPr w:rsidR="0075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48A"/>
    <w:multiLevelType w:val="hybridMultilevel"/>
    <w:tmpl w:val="94D666EA"/>
    <w:lvl w:ilvl="0" w:tplc="DD6AE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2EA"/>
    <w:multiLevelType w:val="hybridMultilevel"/>
    <w:tmpl w:val="32C8A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0C81"/>
    <w:multiLevelType w:val="hybridMultilevel"/>
    <w:tmpl w:val="29D8D1A8"/>
    <w:lvl w:ilvl="0" w:tplc="2EE2F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6"/>
    <w:rsid w:val="00010663"/>
    <w:rsid w:val="000407D7"/>
    <w:rsid w:val="00066B9C"/>
    <w:rsid w:val="000833CA"/>
    <w:rsid w:val="00084280"/>
    <w:rsid w:val="00086E9E"/>
    <w:rsid w:val="000A1BA8"/>
    <w:rsid w:val="000A74F3"/>
    <w:rsid w:val="000B187B"/>
    <w:rsid w:val="00111819"/>
    <w:rsid w:val="0014123D"/>
    <w:rsid w:val="001B2EA0"/>
    <w:rsid w:val="001D782A"/>
    <w:rsid w:val="001F46CA"/>
    <w:rsid w:val="00230DAD"/>
    <w:rsid w:val="00241F25"/>
    <w:rsid w:val="00244EDB"/>
    <w:rsid w:val="00254524"/>
    <w:rsid w:val="002A4CB8"/>
    <w:rsid w:val="002A5CD8"/>
    <w:rsid w:val="003412AE"/>
    <w:rsid w:val="00341647"/>
    <w:rsid w:val="00365ACA"/>
    <w:rsid w:val="00392C11"/>
    <w:rsid w:val="00402AC0"/>
    <w:rsid w:val="00403352"/>
    <w:rsid w:val="00411B40"/>
    <w:rsid w:val="004125C3"/>
    <w:rsid w:val="00412E98"/>
    <w:rsid w:val="004234DE"/>
    <w:rsid w:val="004443D5"/>
    <w:rsid w:val="00460CD9"/>
    <w:rsid w:val="00483F1A"/>
    <w:rsid w:val="00487696"/>
    <w:rsid w:val="004E2585"/>
    <w:rsid w:val="004F09A9"/>
    <w:rsid w:val="00506E3C"/>
    <w:rsid w:val="00523D52"/>
    <w:rsid w:val="00527186"/>
    <w:rsid w:val="00545E30"/>
    <w:rsid w:val="00572E8E"/>
    <w:rsid w:val="00587155"/>
    <w:rsid w:val="005C7B43"/>
    <w:rsid w:val="005D7A10"/>
    <w:rsid w:val="005F73B9"/>
    <w:rsid w:val="006151D2"/>
    <w:rsid w:val="00623DCF"/>
    <w:rsid w:val="00625EFF"/>
    <w:rsid w:val="00633DB7"/>
    <w:rsid w:val="006717DD"/>
    <w:rsid w:val="006A6A4F"/>
    <w:rsid w:val="006E2083"/>
    <w:rsid w:val="006F6013"/>
    <w:rsid w:val="0071799F"/>
    <w:rsid w:val="00755E9E"/>
    <w:rsid w:val="00795250"/>
    <w:rsid w:val="007A1C2B"/>
    <w:rsid w:val="007A297E"/>
    <w:rsid w:val="007B05E9"/>
    <w:rsid w:val="007B57F6"/>
    <w:rsid w:val="007E5DAB"/>
    <w:rsid w:val="007E7889"/>
    <w:rsid w:val="007F772D"/>
    <w:rsid w:val="00805B2F"/>
    <w:rsid w:val="008536F8"/>
    <w:rsid w:val="00872E50"/>
    <w:rsid w:val="008C0EA1"/>
    <w:rsid w:val="008C6DE3"/>
    <w:rsid w:val="008E2AF5"/>
    <w:rsid w:val="009041CF"/>
    <w:rsid w:val="0090472A"/>
    <w:rsid w:val="0090477A"/>
    <w:rsid w:val="009106E7"/>
    <w:rsid w:val="00914138"/>
    <w:rsid w:val="00921A99"/>
    <w:rsid w:val="00924FB1"/>
    <w:rsid w:val="009324CA"/>
    <w:rsid w:val="00943C43"/>
    <w:rsid w:val="009641E3"/>
    <w:rsid w:val="00983C55"/>
    <w:rsid w:val="00A00BBC"/>
    <w:rsid w:val="00A14F50"/>
    <w:rsid w:val="00A3404B"/>
    <w:rsid w:val="00A34E3D"/>
    <w:rsid w:val="00A50E7D"/>
    <w:rsid w:val="00A72014"/>
    <w:rsid w:val="00B16A6E"/>
    <w:rsid w:val="00B676F0"/>
    <w:rsid w:val="00BC6D7A"/>
    <w:rsid w:val="00BC7BC5"/>
    <w:rsid w:val="00BD2E1A"/>
    <w:rsid w:val="00BD3748"/>
    <w:rsid w:val="00BE1FC9"/>
    <w:rsid w:val="00BE4CBA"/>
    <w:rsid w:val="00BE6CDC"/>
    <w:rsid w:val="00C035C7"/>
    <w:rsid w:val="00C23DF3"/>
    <w:rsid w:val="00C45CF1"/>
    <w:rsid w:val="00C73211"/>
    <w:rsid w:val="00C85BCB"/>
    <w:rsid w:val="00C871C0"/>
    <w:rsid w:val="00CA2FBF"/>
    <w:rsid w:val="00CC40BF"/>
    <w:rsid w:val="00D11900"/>
    <w:rsid w:val="00D83EDB"/>
    <w:rsid w:val="00DA137B"/>
    <w:rsid w:val="00DA5854"/>
    <w:rsid w:val="00DB52FE"/>
    <w:rsid w:val="00DB7293"/>
    <w:rsid w:val="00DC60AA"/>
    <w:rsid w:val="00DF42B1"/>
    <w:rsid w:val="00E012E6"/>
    <w:rsid w:val="00E225F3"/>
    <w:rsid w:val="00E245D5"/>
    <w:rsid w:val="00E31D01"/>
    <w:rsid w:val="00E4339D"/>
    <w:rsid w:val="00E678F7"/>
    <w:rsid w:val="00E85F8C"/>
    <w:rsid w:val="00E92A3A"/>
    <w:rsid w:val="00EA1528"/>
    <w:rsid w:val="00F3097E"/>
    <w:rsid w:val="00F32E48"/>
    <w:rsid w:val="00F45090"/>
    <w:rsid w:val="00F46932"/>
    <w:rsid w:val="00F711AA"/>
    <w:rsid w:val="00F95CE6"/>
    <w:rsid w:val="00FC480E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07EE-148F-48C2-A716-776FA53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32</cp:revision>
  <dcterms:created xsi:type="dcterms:W3CDTF">2017-12-13T10:03:00Z</dcterms:created>
  <dcterms:modified xsi:type="dcterms:W3CDTF">2019-10-25T12:07:00Z</dcterms:modified>
</cp:coreProperties>
</file>